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4B9" w:rsidRPr="005F087E" w:rsidRDefault="009D207B" w:rsidP="005F087E">
      <w:pPr>
        <w:jc w:val="center"/>
        <w:rPr>
          <w:rFonts w:ascii="Times New Roman" w:hAnsi="Times New Roman" w:cs="Times New Roman"/>
          <w:b/>
          <w:sz w:val="24"/>
          <w:szCs w:val="24"/>
        </w:rPr>
      </w:pPr>
      <w:r w:rsidRPr="005F087E">
        <w:rPr>
          <w:rFonts w:ascii="Times New Roman" w:hAnsi="Times New Roman" w:cs="Times New Roman"/>
          <w:b/>
          <w:sz w:val="24"/>
          <w:szCs w:val="24"/>
        </w:rPr>
        <w:t>ART HISTORY Module 3: Lecture 6 Summary</w:t>
      </w:r>
    </w:p>
    <w:p w:rsidR="005F087E" w:rsidRPr="005F087E" w:rsidRDefault="005F087E" w:rsidP="005F087E">
      <w:pPr>
        <w:ind w:firstLine="720"/>
        <w:rPr>
          <w:rFonts w:ascii="Times New Roman" w:hAnsi="Times New Roman" w:cs="Times New Roman"/>
          <w:sz w:val="24"/>
          <w:szCs w:val="24"/>
        </w:rPr>
      </w:pPr>
      <w:r w:rsidRPr="005F087E">
        <w:rPr>
          <w:rFonts w:ascii="Times New Roman" w:hAnsi="Times New Roman" w:cs="Times New Roman"/>
          <w:sz w:val="24"/>
          <w:szCs w:val="24"/>
        </w:rPr>
        <w:t xml:space="preserve">Decolonization has become quite a popular concept in recent decades. Concerning museum art, decolonization refers to process within the postcolonial discourse that aim to identify ethnographic objects and pull it away from the conventional museum classification which assumed a colonial status (Bodenstein and Pagani, 2014, p. 47). Usually, historical objects and artefacts in museum conform to a colonial perspective or mindset, but now with decolonization, these dominant ways of classifying and interpreting art are discarded in favor of postcolonial ones. To put it differently, decolonization is a process where canons and artistic interpretations of art are challenged to recognize wider cultural perspectives as opposed to those of the dominant cultural groups. For instance, New York action group launched a #Decolonise This Place campaign to challenge (and even remove) some objects that sought to demean the history of people of color within Western Museums (Jilani, 2018).  </w:t>
      </w:r>
    </w:p>
    <w:p w:rsidR="005F087E" w:rsidRPr="005F087E" w:rsidRDefault="005F087E" w:rsidP="005F087E">
      <w:pPr>
        <w:ind w:firstLine="720"/>
        <w:rPr>
          <w:rFonts w:ascii="Times New Roman" w:hAnsi="Times New Roman" w:cs="Times New Roman"/>
          <w:sz w:val="24"/>
          <w:szCs w:val="24"/>
        </w:rPr>
      </w:pPr>
      <w:r w:rsidRPr="005F087E">
        <w:rPr>
          <w:rFonts w:ascii="Times New Roman" w:hAnsi="Times New Roman" w:cs="Times New Roman"/>
          <w:sz w:val="24"/>
          <w:szCs w:val="24"/>
        </w:rPr>
        <w:t>In understanding decolonization, it does not mean that the processes seek to fuel racial and ethnic tensions. Decolonization is set apart from racism in the sense that it sets to expand views of different cultures objectively and in rational ways. It does not amount merely withdrawing certain pieces of art due to racism aspects related to them but offer a more defined narrative that the affected culture (such as racial minorities) give their perspective on the interpretation of the objects (Das, and Lowe, 2018). Essentially, museums are shared spaces for all cultures, and so coexistence is crucial in this narrative. For instance, the Royal Museum for Central Africa came into being in 1897 to display not to subjectively objects in colonial Congo but offer Belgians a chance to tell their story through them as well (Bodenstein and Pagani, 2014).</w:t>
      </w:r>
    </w:p>
    <w:p w:rsidR="00BD3A20" w:rsidRPr="005F087E" w:rsidRDefault="005F087E" w:rsidP="005F087E">
      <w:pPr>
        <w:ind w:firstLine="720"/>
        <w:rPr>
          <w:rFonts w:ascii="Times New Roman" w:hAnsi="Times New Roman" w:cs="Times New Roman"/>
          <w:sz w:val="24"/>
          <w:szCs w:val="24"/>
        </w:rPr>
      </w:pPr>
      <w:r w:rsidRPr="005F087E">
        <w:rPr>
          <w:rFonts w:ascii="Times New Roman" w:hAnsi="Times New Roman" w:cs="Times New Roman"/>
          <w:sz w:val="24"/>
          <w:szCs w:val="24"/>
        </w:rPr>
        <w:t>Today, the management of museums, especially in Western nations, have become more conscious about the concept of decolonization to deconstruct the colonial mindsets and pave the way for wide interpretations by other cultures. A suitable case study is in Australia, where aboriginal communities have expressed the desire to collect and converse their sacred objects to relive their culture (Preminda, 2016). Due to this, museums like the Australian Museum have had to indigenize some objects to recognize their rich culture and heritage. In Bangladesh, there was a public uproar against the sale of pieces of their artistic heritage to France, and it eventually stopped the process. Recent years has seen the return of cultural objects to tribal museums or redefining interpretations to acknowledge other associated heritages.</w:t>
      </w:r>
    </w:p>
    <w:p w:rsidR="005F087E" w:rsidRPr="005F087E" w:rsidRDefault="005F087E" w:rsidP="005F087E">
      <w:pPr>
        <w:jc w:val="center"/>
        <w:rPr>
          <w:rFonts w:ascii="Times New Roman" w:hAnsi="Times New Roman" w:cs="Times New Roman"/>
          <w:b/>
          <w:sz w:val="24"/>
          <w:szCs w:val="24"/>
        </w:rPr>
      </w:pPr>
    </w:p>
    <w:p w:rsidR="005F087E" w:rsidRPr="005F087E" w:rsidRDefault="005F087E" w:rsidP="005F087E">
      <w:pPr>
        <w:jc w:val="center"/>
        <w:rPr>
          <w:rFonts w:ascii="Times New Roman" w:hAnsi="Times New Roman" w:cs="Times New Roman"/>
          <w:b/>
          <w:sz w:val="24"/>
          <w:szCs w:val="24"/>
        </w:rPr>
      </w:pPr>
    </w:p>
    <w:p w:rsidR="005F087E" w:rsidRPr="005F087E" w:rsidRDefault="005F087E" w:rsidP="005F087E">
      <w:pPr>
        <w:jc w:val="center"/>
        <w:rPr>
          <w:rFonts w:ascii="Times New Roman" w:hAnsi="Times New Roman" w:cs="Times New Roman"/>
          <w:b/>
          <w:sz w:val="24"/>
          <w:szCs w:val="24"/>
        </w:rPr>
      </w:pPr>
    </w:p>
    <w:p w:rsidR="005F087E" w:rsidRPr="005F087E" w:rsidRDefault="005F087E" w:rsidP="005F087E">
      <w:pPr>
        <w:jc w:val="center"/>
        <w:rPr>
          <w:rFonts w:ascii="Times New Roman" w:hAnsi="Times New Roman" w:cs="Times New Roman"/>
          <w:b/>
          <w:sz w:val="24"/>
          <w:szCs w:val="24"/>
        </w:rPr>
      </w:pPr>
    </w:p>
    <w:p w:rsidR="005F087E" w:rsidRPr="005F087E" w:rsidRDefault="005F087E" w:rsidP="005F087E">
      <w:pPr>
        <w:jc w:val="center"/>
        <w:rPr>
          <w:rFonts w:ascii="Times New Roman" w:hAnsi="Times New Roman" w:cs="Times New Roman"/>
          <w:b/>
          <w:sz w:val="24"/>
          <w:szCs w:val="24"/>
        </w:rPr>
      </w:pPr>
    </w:p>
    <w:p w:rsidR="005F087E" w:rsidRPr="005F087E" w:rsidRDefault="005F087E" w:rsidP="005F087E">
      <w:pPr>
        <w:jc w:val="center"/>
        <w:rPr>
          <w:rFonts w:ascii="Times New Roman" w:hAnsi="Times New Roman" w:cs="Times New Roman"/>
          <w:b/>
          <w:sz w:val="24"/>
          <w:szCs w:val="24"/>
        </w:rPr>
      </w:pPr>
    </w:p>
    <w:p w:rsidR="005F087E" w:rsidRPr="005F087E" w:rsidRDefault="005F087E" w:rsidP="005F087E">
      <w:pPr>
        <w:jc w:val="center"/>
        <w:rPr>
          <w:rFonts w:ascii="Times New Roman" w:hAnsi="Times New Roman" w:cs="Times New Roman"/>
          <w:b/>
          <w:sz w:val="24"/>
          <w:szCs w:val="24"/>
        </w:rPr>
      </w:pPr>
    </w:p>
    <w:p w:rsidR="00BD3A20" w:rsidRPr="005F087E" w:rsidRDefault="00BD3A20" w:rsidP="005F087E">
      <w:pPr>
        <w:jc w:val="center"/>
        <w:rPr>
          <w:rFonts w:ascii="Times New Roman" w:hAnsi="Times New Roman" w:cs="Times New Roman"/>
          <w:b/>
          <w:sz w:val="24"/>
          <w:szCs w:val="24"/>
        </w:rPr>
      </w:pPr>
      <w:r w:rsidRPr="005F087E">
        <w:rPr>
          <w:rFonts w:ascii="Times New Roman" w:hAnsi="Times New Roman" w:cs="Times New Roman"/>
          <w:b/>
          <w:sz w:val="24"/>
          <w:szCs w:val="24"/>
        </w:rPr>
        <w:lastRenderedPageBreak/>
        <w:t>References</w:t>
      </w:r>
    </w:p>
    <w:p w:rsidR="005F087E" w:rsidRPr="005F087E" w:rsidRDefault="005F087E" w:rsidP="005F087E">
      <w:pPr>
        <w:spacing w:after="0" w:line="240" w:lineRule="auto"/>
        <w:ind w:left="720" w:hanging="720"/>
        <w:rPr>
          <w:rFonts w:ascii="Times New Roman" w:hAnsi="Times New Roman" w:cs="Times New Roman"/>
          <w:sz w:val="24"/>
          <w:szCs w:val="24"/>
        </w:rPr>
      </w:pPr>
      <w:r w:rsidRPr="005F087E">
        <w:rPr>
          <w:rFonts w:ascii="Times New Roman" w:hAnsi="Times New Roman" w:cs="Times New Roman"/>
          <w:sz w:val="24"/>
          <w:szCs w:val="24"/>
        </w:rPr>
        <w:t>Bodenstein, F., and Pagani, C</w:t>
      </w:r>
      <w:r w:rsidRPr="005F087E">
        <w:rPr>
          <w:rFonts w:ascii="Times New Roman" w:hAnsi="Times New Roman" w:cs="Times New Roman"/>
          <w:i/>
          <w:sz w:val="24"/>
          <w:szCs w:val="24"/>
        </w:rPr>
        <w:t xml:space="preserve">., “Chapter 2: </w:t>
      </w:r>
      <w:r w:rsidRPr="005F087E">
        <w:rPr>
          <w:rFonts w:ascii="Times New Roman" w:hAnsi="Times New Roman" w:cs="Times New Roman"/>
          <w:i/>
          <w:sz w:val="24"/>
          <w:szCs w:val="24"/>
        </w:rPr>
        <w:t>Decolonizing</w:t>
      </w:r>
      <w:r w:rsidRPr="005F087E">
        <w:rPr>
          <w:rFonts w:ascii="Times New Roman" w:hAnsi="Times New Roman" w:cs="Times New Roman"/>
          <w:i/>
          <w:sz w:val="24"/>
          <w:szCs w:val="24"/>
        </w:rPr>
        <w:t xml:space="preserve"> National Museums of Ethnography in Europe: Exposing and Reshaping Colonial Heritage (2000–2012)</w:t>
      </w:r>
      <w:r w:rsidRPr="005F087E">
        <w:rPr>
          <w:rFonts w:ascii="Times New Roman" w:hAnsi="Times New Roman" w:cs="Times New Roman"/>
          <w:sz w:val="24"/>
          <w:szCs w:val="24"/>
        </w:rPr>
        <w:t xml:space="preserve"> </w:t>
      </w:r>
      <w:r w:rsidRPr="005F087E">
        <w:rPr>
          <w:rFonts w:ascii="Times New Roman" w:hAnsi="Times New Roman" w:cs="Times New Roman"/>
          <w:sz w:val="24"/>
          <w:szCs w:val="24"/>
        </w:rPr>
        <w:t>I</w:t>
      </w:r>
      <w:r w:rsidRPr="005F087E">
        <w:rPr>
          <w:rFonts w:ascii="Times New Roman" w:hAnsi="Times New Roman" w:cs="Times New Roman"/>
          <w:sz w:val="24"/>
          <w:szCs w:val="24"/>
        </w:rPr>
        <w:t xml:space="preserve">n </w:t>
      </w:r>
      <w:r w:rsidRPr="005F087E">
        <w:rPr>
          <w:rFonts w:ascii="Times New Roman" w:hAnsi="Times New Roman" w:cs="Times New Roman"/>
          <w:i/>
          <w:sz w:val="24"/>
          <w:szCs w:val="24"/>
        </w:rPr>
        <w:t>The Postcolonial Museum: The Arts of Memory and the Pressures of History</w:t>
      </w:r>
      <w:r w:rsidRPr="005F087E">
        <w:rPr>
          <w:rFonts w:ascii="Times New Roman" w:hAnsi="Times New Roman" w:cs="Times New Roman"/>
          <w:sz w:val="24"/>
          <w:szCs w:val="24"/>
        </w:rPr>
        <w:t xml:space="preserve"> by Chambers, I., (2016). </w:t>
      </w:r>
      <w:r w:rsidRPr="005F087E">
        <w:rPr>
          <w:rFonts w:ascii="Times New Roman" w:hAnsi="Times New Roman" w:cs="Times New Roman"/>
          <w:sz w:val="24"/>
          <w:szCs w:val="24"/>
        </w:rPr>
        <w:t>New</w:t>
      </w:r>
      <w:r w:rsidRPr="005F087E">
        <w:rPr>
          <w:rFonts w:ascii="Times New Roman" w:hAnsi="Times New Roman" w:cs="Times New Roman"/>
          <w:sz w:val="24"/>
          <w:szCs w:val="24"/>
        </w:rPr>
        <w:t xml:space="preserve"> York: Taylor &amp; Francis Group</w:t>
      </w:r>
    </w:p>
    <w:p w:rsidR="00BD3A20" w:rsidRPr="005F087E" w:rsidRDefault="00BD3A20" w:rsidP="005F087E">
      <w:pPr>
        <w:spacing w:after="0" w:line="240" w:lineRule="auto"/>
        <w:ind w:left="720" w:hanging="720"/>
        <w:rPr>
          <w:rFonts w:ascii="Times New Roman" w:hAnsi="Times New Roman" w:cs="Times New Roman"/>
          <w:sz w:val="24"/>
          <w:szCs w:val="24"/>
        </w:rPr>
      </w:pPr>
      <w:r w:rsidRPr="005F087E">
        <w:rPr>
          <w:rFonts w:ascii="Times New Roman" w:hAnsi="Times New Roman" w:cs="Times New Roman"/>
          <w:sz w:val="24"/>
          <w:szCs w:val="24"/>
        </w:rPr>
        <w:t>D</w:t>
      </w:r>
      <w:r w:rsidRPr="005F087E">
        <w:rPr>
          <w:rFonts w:ascii="Times New Roman" w:hAnsi="Times New Roman" w:cs="Times New Roman"/>
          <w:sz w:val="24"/>
          <w:szCs w:val="24"/>
        </w:rPr>
        <w:t xml:space="preserve">as, S. and Lowe, M., “Nature Read in Black and White: Decolonial approaches to interpreting natural history collections,” </w:t>
      </w:r>
      <w:r w:rsidRPr="005F087E">
        <w:rPr>
          <w:rFonts w:ascii="Times New Roman" w:hAnsi="Times New Roman" w:cs="Times New Roman"/>
          <w:i/>
          <w:sz w:val="24"/>
          <w:szCs w:val="24"/>
        </w:rPr>
        <w:t>Actions Journal of Natural Science Collections</w:t>
      </w:r>
      <w:r w:rsidRPr="005F087E">
        <w:rPr>
          <w:rFonts w:ascii="Times New Roman" w:hAnsi="Times New Roman" w:cs="Times New Roman"/>
          <w:sz w:val="24"/>
          <w:szCs w:val="24"/>
        </w:rPr>
        <w:t xml:space="preserve">, 2018, vol. 6, pp. 4-14. </w:t>
      </w:r>
    </w:p>
    <w:p w:rsidR="00BD3A20" w:rsidRPr="005F087E" w:rsidRDefault="00BD3A20" w:rsidP="005F087E">
      <w:pPr>
        <w:spacing w:after="0" w:line="240" w:lineRule="auto"/>
        <w:ind w:left="720" w:hanging="720"/>
        <w:rPr>
          <w:rFonts w:ascii="Times New Roman" w:hAnsi="Times New Roman" w:cs="Times New Roman"/>
          <w:sz w:val="24"/>
          <w:szCs w:val="24"/>
        </w:rPr>
      </w:pPr>
      <w:r w:rsidRPr="005F087E">
        <w:rPr>
          <w:rFonts w:ascii="Times New Roman" w:hAnsi="Times New Roman" w:cs="Times New Roman"/>
          <w:sz w:val="24"/>
          <w:szCs w:val="24"/>
        </w:rPr>
        <w:t xml:space="preserve">Jacob, Preminda, “Spectres in storage: The colonial legacy of art museums,” </w:t>
      </w:r>
      <w:r w:rsidRPr="005F087E">
        <w:rPr>
          <w:rFonts w:ascii="Times New Roman" w:hAnsi="Times New Roman" w:cs="Times New Roman"/>
          <w:i/>
          <w:sz w:val="24"/>
          <w:szCs w:val="24"/>
        </w:rPr>
        <w:t>Actions Journal of Art Historiography,</w:t>
      </w:r>
      <w:r w:rsidRPr="005F087E">
        <w:rPr>
          <w:rFonts w:ascii="Times New Roman" w:hAnsi="Times New Roman" w:cs="Times New Roman"/>
          <w:sz w:val="24"/>
          <w:szCs w:val="24"/>
        </w:rPr>
        <w:t xml:space="preserve"> Number 15, December 2016, pp. 1-10.</w:t>
      </w:r>
    </w:p>
    <w:p w:rsidR="00B43750" w:rsidRPr="005F087E" w:rsidRDefault="00B43750" w:rsidP="00B43750">
      <w:pPr>
        <w:spacing w:after="0" w:line="240" w:lineRule="auto"/>
        <w:ind w:left="720" w:hanging="720"/>
        <w:rPr>
          <w:rFonts w:ascii="Times New Roman" w:hAnsi="Times New Roman" w:cs="Times New Roman"/>
          <w:sz w:val="24"/>
          <w:szCs w:val="24"/>
        </w:rPr>
      </w:pPr>
      <w:r w:rsidRPr="005F087E">
        <w:rPr>
          <w:rFonts w:ascii="Times New Roman" w:hAnsi="Times New Roman" w:cs="Times New Roman"/>
          <w:sz w:val="24"/>
          <w:szCs w:val="24"/>
        </w:rPr>
        <w:t xml:space="preserve">Jilani, S., “How to Decolonize a Museum,” </w:t>
      </w:r>
      <w:r w:rsidRPr="00B43750">
        <w:rPr>
          <w:rFonts w:ascii="Times New Roman" w:hAnsi="Times New Roman" w:cs="Times New Roman"/>
          <w:i/>
          <w:sz w:val="24"/>
          <w:szCs w:val="24"/>
        </w:rPr>
        <w:t>Actions Times Literary Supplement</w:t>
      </w:r>
      <w:r w:rsidRPr="005F087E">
        <w:rPr>
          <w:rFonts w:ascii="Times New Roman" w:hAnsi="Times New Roman" w:cs="Times New Roman"/>
          <w:sz w:val="24"/>
          <w:szCs w:val="24"/>
        </w:rPr>
        <w:t xml:space="preserve">. June 7, 2018. </w:t>
      </w:r>
    </w:p>
    <w:p w:rsidR="00BD3A20" w:rsidRPr="005F087E" w:rsidRDefault="00BD3A20" w:rsidP="00BD3A20">
      <w:pPr>
        <w:rPr>
          <w:rFonts w:ascii="Times New Roman" w:hAnsi="Times New Roman" w:cs="Times New Roman"/>
          <w:sz w:val="24"/>
          <w:szCs w:val="24"/>
        </w:rPr>
      </w:pPr>
      <w:bookmarkStart w:id="0" w:name="_GoBack"/>
      <w:bookmarkEnd w:id="0"/>
    </w:p>
    <w:sectPr w:rsidR="00BD3A20" w:rsidRPr="005F08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07B"/>
    <w:rsid w:val="002816EB"/>
    <w:rsid w:val="00400154"/>
    <w:rsid w:val="005E4A48"/>
    <w:rsid w:val="005F087E"/>
    <w:rsid w:val="007B54B9"/>
    <w:rsid w:val="009D207B"/>
    <w:rsid w:val="00AA7580"/>
    <w:rsid w:val="00B43750"/>
    <w:rsid w:val="00BD3A20"/>
    <w:rsid w:val="00DD4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02D7F0-2ECF-464B-AC45-233DB059B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2020-11-01T15:22:00Z</dcterms:created>
  <dcterms:modified xsi:type="dcterms:W3CDTF">2020-11-01T16:33:00Z</dcterms:modified>
</cp:coreProperties>
</file>